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883" w:rsidRPr="001F4883" w:rsidRDefault="001F4883" w:rsidP="001F4883">
      <w:pPr>
        <w:spacing w:before="240" w:after="0" w:line="240" w:lineRule="auto"/>
        <w:jc w:val="center"/>
        <w:rPr>
          <w:rFonts w:ascii="BrowalliaUPC" w:hAnsi="BrowalliaUPC" w:cs="BrowalliaUPC"/>
          <w:b/>
          <w:bCs/>
          <w:sz w:val="32"/>
          <w:szCs w:val="32"/>
        </w:rPr>
      </w:pPr>
      <w:r w:rsidRPr="001F4883">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p>
    <w:p w:rsidR="00AC2E86" w:rsidRDefault="00E12BA8" w:rsidP="001F4883">
      <w:pPr>
        <w:spacing w:before="240" w:after="0" w:line="240" w:lineRule="auto"/>
        <w:jc w:val="center"/>
        <w:rPr>
          <w:rFonts w:ascii="BrowalliaUPC" w:hAnsi="BrowalliaUPC" w:cs="BrowalliaUPC"/>
          <w:sz w:val="32"/>
          <w:szCs w:val="32"/>
        </w:rPr>
      </w:pPr>
      <w:r w:rsidRPr="00E12BA8">
        <w:rPr>
          <w:rFonts w:ascii="BrowalliaUPC" w:hAnsi="BrowalliaUPC" w:cs="BrowalliaUPC"/>
          <w:b/>
          <w:bCs/>
          <w:sz w:val="32"/>
          <w:szCs w:val="32"/>
          <w:cs/>
        </w:rPr>
        <w:t>วันพุธที่ 24 พฤศจิกายน พ.ศ. 2564</w:t>
      </w:r>
    </w:p>
    <w:p w:rsidR="00E12BA8" w:rsidRPr="00F87913" w:rsidRDefault="00E12BA8" w:rsidP="001F4883">
      <w:pPr>
        <w:spacing w:before="240" w:after="0" w:line="240" w:lineRule="auto"/>
        <w:jc w:val="center"/>
        <w:rPr>
          <w:rFonts w:ascii="BrowalliaUPC" w:hAnsi="BrowalliaUPC" w:cs="BrowalliaUPC"/>
          <w:sz w:val="32"/>
          <w:szCs w:val="32"/>
        </w:rPr>
      </w:pPr>
    </w:p>
    <w:p w:rsidR="00434545" w:rsidRDefault="00E739AC" w:rsidP="00E739AC">
      <w:pPr>
        <w:spacing w:before="240" w:after="0" w:line="240" w:lineRule="auto"/>
        <w:jc w:val="thaiDistribute"/>
        <w:rPr>
          <w:rFonts w:ascii="BrowalliaUPC" w:hAnsi="BrowalliaUPC" w:cs="BrowalliaUPC"/>
          <w:sz w:val="32"/>
          <w:szCs w:val="32"/>
          <w:u w:val="single"/>
        </w:rPr>
      </w:pPr>
      <w:r w:rsidRPr="00E739AC">
        <w:rPr>
          <w:rFonts w:ascii="BrowalliaUPC" w:hAnsi="BrowalliaUPC" w:cs="BrowalliaUPC"/>
          <w:b/>
          <w:bCs/>
          <w:sz w:val="32"/>
          <w:szCs w:val="32"/>
          <w:cs/>
        </w:rPr>
        <w:t xml:space="preserve">เรื่องที่ </w:t>
      </w:r>
      <w:r w:rsidR="00E12BA8" w:rsidRPr="00E12BA8">
        <w:rPr>
          <w:rFonts w:ascii="BrowalliaUPC" w:hAnsi="BrowalliaUPC" w:cs="BrowalliaUPC"/>
          <w:b/>
          <w:bCs/>
          <w:sz w:val="32"/>
          <w:szCs w:val="32"/>
          <w:cs/>
        </w:rPr>
        <w:t xml:space="preserve">1 </w:t>
      </w:r>
      <w:bookmarkStart w:id="0" w:name="_GoBack"/>
      <w:r w:rsidR="00E12BA8" w:rsidRPr="00E12BA8">
        <w:rPr>
          <w:rFonts w:ascii="BrowalliaUPC" w:hAnsi="BrowalliaUPC" w:cs="BrowalliaUPC"/>
          <w:b/>
          <w:bCs/>
          <w:sz w:val="32"/>
          <w:szCs w:val="32"/>
          <w:cs/>
        </w:rPr>
        <w:t>มาตรการบรรเทาผลกระทบจากราคาน้ำมันเชื้อเพลิงที่ปรับตัวสูงขึ้น</w:t>
      </w:r>
      <w:bookmarkEnd w:id="0"/>
    </w:p>
    <w:p w:rsidR="00E739AC" w:rsidRPr="00E739AC" w:rsidRDefault="00E739AC" w:rsidP="00E739AC">
      <w:pPr>
        <w:spacing w:before="240" w:after="0" w:line="240" w:lineRule="auto"/>
        <w:jc w:val="thaiDistribute"/>
        <w:rPr>
          <w:rFonts w:ascii="BrowalliaUPC" w:hAnsi="BrowalliaUPC" w:cs="BrowalliaUPC"/>
          <w:sz w:val="32"/>
          <w:szCs w:val="32"/>
          <w:u w:val="single"/>
        </w:rPr>
      </w:pPr>
      <w:r w:rsidRPr="00E739AC">
        <w:rPr>
          <w:rFonts w:ascii="BrowalliaUPC" w:hAnsi="BrowalliaUPC" w:cs="BrowalliaUPC"/>
          <w:sz w:val="32"/>
          <w:szCs w:val="32"/>
          <w:u w:val="single"/>
          <w:cs/>
        </w:rPr>
        <w:t>สรุปสาระสำคัญ</w:t>
      </w:r>
    </w:p>
    <w:p w:rsidR="00E12BA8" w:rsidRPr="00E12BA8" w:rsidRDefault="00E12BA8" w:rsidP="00E12BA8">
      <w:pPr>
        <w:spacing w:before="240" w:after="0" w:line="240" w:lineRule="auto"/>
        <w:jc w:val="thaiDistribute"/>
        <w:rPr>
          <w:rFonts w:ascii="BrowalliaUPC" w:hAnsi="BrowalliaUPC" w:cs="BrowalliaUPC"/>
          <w:sz w:val="32"/>
          <w:szCs w:val="32"/>
        </w:rPr>
      </w:pPr>
      <w:r w:rsidRPr="00E12BA8">
        <w:rPr>
          <w:rFonts w:ascii="BrowalliaUPC" w:hAnsi="BrowalliaUPC" w:cs="BrowalliaUPC"/>
          <w:sz w:val="32"/>
          <w:szCs w:val="32"/>
          <w:cs/>
        </w:rPr>
        <w:t>1. เมื่อวันที่ 4 ตุลาคม 2564 คณะกรรมการบริหารนโยบายพลังงาน (กบง.) ได้พิจารณา เรื่อง มาตรการบรรเทาผลกระทบจากราคาน้ำมันเชื้อเพลิงที่ปรับตัวสูงขึ้น และได้มีมติ ดังนี้ (1) มอบสำนักงานกองทุนน้ำมันเชื้อเพลิง (สกนช.) นำเสนอคณะกรรมการบริหารกองทุนน้ำมันเชื้อเพลิง (กบน.) ปรับลดอัตราเงินส่งเข้ากองทุนน้ำมันเชื้อเพลิงของน้ำมันดีเซลหมุนเร็ว บี7 จาก 1.00 บาทต่อลิตร เป็น 0.01 บาทต่อลิตร (2) ปรับลดสัดส่วนผสมขั้นต่ำของ</w:t>
      </w:r>
      <w:proofErr w:type="spellStart"/>
      <w:r w:rsidRPr="00E12BA8">
        <w:rPr>
          <w:rFonts w:ascii="BrowalliaUPC" w:hAnsi="BrowalliaUPC" w:cs="BrowalliaUPC"/>
          <w:sz w:val="32"/>
          <w:szCs w:val="32"/>
          <w:cs/>
        </w:rPr>
        <w:t>ไบ</w:t>
      </w:r>
      <w:proofErr w:type="spellEnd"/>
      <w:r w:rsidRPr="00E12BA8">
        <w:rPr>
          <w:rFonts w:ascii="BrowalliaUPC" w:hAnsi="BrowalliaUPC" w:cs="BrowalliaUPC"/>
          <w:sz w:val="32"/>
          <w:szCs w:val="32"/>
          <w:cs/>
        </w:rPr>
        <w:t>โอดีเซลในน้ำมันดีเซลหมุนเร็ว บี7 และน้ำมันดีเซลหมุนเร็วธรรมดา เป็นร้อยละ 6 โดยปริมาตร และมอบหมายให้กรมธุรกิจพลังงาน (</w:t>
      </w:r>
      <w:proofErr w:type="spellStart"/>
      <w:r w:rsidRPr="00E12BA8">
        <w:rPr>
          <w:rFonts w:ascii="BrowalliaUPC" w:hAnsi="BrowalliaUPC" w:cs="BrowalliaUPC"/>
          <w:sz w:val="32"/>
          <w:szCs w:val="32"/>
          <w:cs/>
        </w:rPr>
        <w:t>ธพ</w:t>
      </w:r>
      <w:proofErr w:type="spellEnd"/>
      <w:r w:rsidRPr="00E12BA8">
        <w:rPr>
          <w:rFonts w:ascii="BrowalliaUPC" w:hAnsi="BrowalliaUPC" w:cs="BrowalliaUPC"/>
          <w:sz w:val="32"/>
          <w:szCs w:val="32"/>
          <w:cs/>
        </w:rPr>
        <w:t>.) ออกประกาศ เรื่อง กำหนดลักษณะและคุณภาพของน้ำมันดีเซล พ.ศ. …. รวมทั้งมอบหมายให้ สกนช. นำเสนอ กบน. ปรับอัตราเงินส่งเข้ากองทุนน้ำมันฯ ของน้ำมันดีเซลหมุนเร็วธรรมดา โดยให้ส่วนต่างราคาขายปลีกระหว่างน้ำมันดีเซลหมุนเร็วธรรมดา กับน้ำมันดีเซลหมุนเร็ว บี7 และน้ำมันดีเซลหมุนเร็ว บี20 เท่ากับ 0.25 บาทต่อลิตร (3) เห็นชอบหลักเกณฑ์การคำนวณราคา ณ โรงกลั่นของกลุ่มน้ำมันดีเซลหมุนเร็วตามข้อเสนอแนวทางการปรับปรุงของฝ่ายเลขานุการฯ (4) เห็นชอบค่าการตลาดของกลุ่มน้ำมันดีเซลหมุนเร็วแต่ละชนิดเท่ากับ 1.40 บาทต่อลิตร (5) มอบหมายให้ สกนช. ติดตามและกำกับให้ค่าการตลาดของกลุ่มน้ำมันดีเซลหมุนเร็วแต่ละชนิดอยู่ในช่วง 1.40 บาทต่อลิตร โดยใช้กลไกกองทุนน้ำมันฯในการบริการจัดการอัตราเงินกองทุน และ (6) มอบหมายให้ฝ่ายเลขานุการฯ ติดตามการดำเนินมาตรการบรรเทาผลกระทบของน้ำมันดีเซลหมุนเร็ว และจัดทำแนวทางการแก้ไขปัญหาระยะยาวนำเสนอต่อ กบง. พิจารณาต่อไป</w:t>
      </w:r>
    </w:p>
    <w:p w:rsidR="00E12BA8" w:rsidRPr="00E12BA8" w:rsidRDefault="00E12BA8" w:rsidP="00E12BA8">
      <w:pPr>
        <w:spacing w:before="240" w:after="0" w:line="240" w:lineRule="auto"/>
        <w:jc w:val="thaiDistribute"/>
        <w:rPr>
          <w:rFonts w:ascii="BrowalliaUPC" w:hAnsi="BrowalliaUPC" w:cs="BrowalliaUPC"/>
          <w:sz w:val="32"/>
          <w:szCs w:val="32"/>
        </w:rPr>
      </w:pPr>
    </w:p>
    <w:p w:rsidR="00E12BA8" w:rsidRPr="00E12BA8" w:rsidRDefault="00E12BA8" w:rsidP="00E12BA8">
      <w:pPr>
        <w:spacing w:before="240" w:after="0" w:line="240" w:lineRule="auto"/>
        <w:jc w:val="thaiDistribute"/>
        <w:rPr>
          <w:rFonts w:ascii="BrowalliaUPC" w:hAnsi="BrowalliaUPC" w:cs="BrowalliaUPC"/>
          <w:sz w:val="32"/>
          <w:szCs w:val="32"/>
        </w:rPr>
      </w:pPr>
      <w:r w:rsidRPr="00E12BA8">
        <w:rPr>
          <w:rFonts w:ascii="BrowalliaUPC" w:hAnsi="BrowalliaUPC" w:cs="BrowalliaUPC"/>
          <w:sz w:val="32"/>
          <w:szCs w:val="32"/>
          <w:cs/>
        </w:rPr>
        <w:t xml:space="preserve">        2. เมื่อวันที่ 20 ตุลาคม 2564 กบง. ได้มีมติ ดังนี้ (1) เห็นชอบมาตรการบรรเทาผลกระทบจากราคาน้ำมันดีเซลหมุนเร็วที่ปรับตัวสูงขึ้น โดยกำหนดให้สัดส่วนการผสม</w:t>
      </w:r>
      <w:proofErr w:type="spellStart"/>
      <w:r w:rsidRPr="00E12BA8">
        <w:rPr>
          <w:rFonts w:ascii="BrowalliaUPC" w:hAnsi="BrowalliaUPC" w:cs="BrowalliaUPC"/>
          <w:sz w:val="32"/>
          <w:szCs w:val="32"/>
          <w:cs/>
        </w:rPr>
        <w:t>ไบ</w:t>
      </w:r>
      <w:proofErr w:type="spellEnd"/>
      <w:r w:rsidRPr="00E12BA8">
        <w:rPr>
          <w:rFonts w:ascii="BrowalliaUPC" w:hAnsi="BrowalliaUPC" w:cs="BrowalliaUPC"/>
          <w:sz w:val="32"/>
          <w:szCs w:val="32"/>
          <w:cs/>
        </w:rPr>
        <w:t>โอดีเซลประเภทเมท</w:t>
      </w:r>
      <w:proofErr w:type="spellStart"/>
      <w:r w:rsidRPr="00E12BA8">
        <w:rPr>
          <w:rFonts w:ascii="BrowalliaUPC" w:hAnsi="BrowalliaUPC" w:cs="BrowalliaUPC"/>
          <w:sz w:val="32"/>
          <w:szCs w:val="32"/>
          <w:cs/>
        </w:rPr>
        <w:t>ิล</w:t>
      </w:r>
      <w:proofErr w:type="spellEnd"/>
      <w:r w:rsidRPr="00E12BA8">
        <w:rPr>
          <w:rFonts w:ascii="BrowalliaUPC" w:hAnsi="BrowalliaUPC" w:cs="BrowalliaUPC"/>
          <w:sz w:val="32"/>
          <w:szCs w:val="32"/>
          <w:cs/>
        </w:rPr>
        <w:t>เอส</w:t>
      </w:r>
      <w:proofErr w:type="spellStart"/>
      <w:r w:rsidRPr="00E12BA8">
        <w:rPr>
          <w:rFonts w:ascii="BrowalliaUPC" w:hAnsi="BrowalliaUPC" w:cs="BrowalliaUPC"/>
          <w:sz w:val="32"/>
          <w:szCs w:val="32"/>
          <w:cs/>
        </w:rPr>
        <w:t>เต</w:t>
      </w:r>
      <w:proofErr w:type="spellEnd"/>
      <w:r w:rsidRPr="00E12BA8">
        <w:rPr>
          <w:rFonts w:ascii="BrowalliaUPC" w:hAnsi="BrowalliaUPC" w:cs="BrowalliaUPC"/>
          <w:sz w:val="32"/>
          <w:szCs w:val="32"/>
          <w:cs/>
        </w:rPr>
        <w:t>อร์ของกรดไขมัน ในน้ำมันดีเซลหมุนเร็ว บี7 น้ำมันดีเซลหมุนเร็วธรรมดา และน้ำมันดีเซลหมุนเร็ว บี20 เป็นไปตามสัดส่วนการผสมตามปกติ ตั้งแต่วันที่ 1 พฤศจิกายน 2564 เป็นต้นไป และกำหนดส่วนต่างราคาขายปลีกระหว่างน้ำมันดีเซลหมุนเร็ว บี7 กับน้ำมันดีเซลหมุนเร็วธรรมดา อยู่ที่ 0.15 บาทต่อลิตร ส่วนต่างราคาขายปลีกระหว่างน้ำมันดีเซลหมุนเร็ว บี7 กับน้ำมันดีเซลหมุนเร็ว บี20 อยู่ที่ 0.25 บาทต่อลิตร รวมทั้งคงค่าการตลาดน้ำมันเชื้อเพลิงกลุ่มดีเซลไม่เกิน 1.40 บาทต่อลิตร (2) เห็นชอบแนวทางดำเนินการตามมาตรการบรรเทาผลกระทบดังกล่าว จากการใช้กองทุนน้ำมันฯ รักษาระดับราคา</w:t>
      </w:r>
      <w:r w:rsidRPr="00E12BA8">
        <w:rPr>
          <w:rFonts w:ascii="BrowalliaUPC" w:hAnsi="BrowalliaUPC" w:cs="BrowalliaUPC"/>
          <w:sz w:val="32"/>
          <w:szCs w:val="32"/>
          <w:cs/>
        </w:rPr>
        <w:lastRenderedPageBreak/>
        <w:t xml:space="preserve">ขายปลีกน้ำมันเชื้อเพลิงกลุ่มดีเซลไม่ให้เกิน 30 บาทต่อลิตร หรือที่ราคาน้ำมันดิบดูไบไม่เกิน 87.5 เหรียญสหรัฐฯ ต่อบาร์เรล โดยใช้เงินกองทุนน้ำมันฯ ที่มีอยู่ในปัจจุบัน รวมถึงกู้ยืมเงินในวงเงินไม่เกิน 20,000 ล้านบาท ตามมาตรา 26 แห่งพระราชบัญญัติกองทุนน้ำมันเชื้อเพลิง พ.ศ. 2562 เพื่อรักษาระดับราคาขายปลีกดังกล่าว ทั้งนี้ กรณีราคาน้ำมันดิบดูไบเกิน 87.5 เหรียญสหรัฐฯ ต่อบาร์เรล หรือสถานภาพกองทุนน้ำมันฯ ไม่เพียงพอที่จะรักษาเสถียรภาพราคาน้ำมันเชื้อเพลิงกลุ่มดีเซลให้ไม่เกิน 30 บาทต่อลิตรแล้ว ให้ประสานกระทรวงการคลังเพื่อปรับลดอัตราภาษีสรรพสามิตเป็นลำดับต่อไป (3) มอบ </w:t>
      </w:r>
      <w:proofErr w:type="spellStart"/>
      <w:r w:rsidRPr="00E12BA8">
        <w:rPr>
          <w:rFonts w:ascii="BrowalliaUPC" w:hAnsi="BrowalliaUPC" w:cs="BrowalliaUPC"/>
          <w:sz w:val="32"/>
          <w:szCs w:val="32"/>
          <w:cs/>
        </w:rPr>
        <w:t>ธพ</w:t>
      </w:r>
      <w:proofErr w:type="spellEnd"/>
      <w:r w:rsidRPr="00E12BA8">
        <w:rPr>
          <w:rFonts w:ascii="BrowalliaUPC" w:hAnsi="BrowalliaUPC" w:cs="BrowalliaUPC"/>
          <w:sz w:val="32"/>
          <w:szCs w:val="32"/>
          <w:cs/>
        </w:rPr>
        <w:t>. ออกประกาศ เรื่อง กำหนดลักษณะและคุณภาพของน้ำมันดีเซล พ.ศ. …. และ (4) มอบฝ่ายเลขานุการฯ ประสาน สกนช. นำเสนอ กบน. พิจารณาปรับอัตราเงินกองทุนน้ำมันฯ ของน้ำมันเชื้อเพลิงกลุ่มดีเซลให้ส่วนต่างราคาขายปลีก และค่าการตลาดของน้ำมันเชื้อเพลิงกลุ่มดีเซลเป็นไปตามที่กำหนด โดยต่อมา เมื่อวันที่ 5 พฤศจิกายน 2564 คณะกรรมการนโยบายพลังงานแห่งชาติ (</w:t>
      </w:r>
      <w:proofErr w:type="spellStart"/>
      <w:r w:rsidRPr="00E12BA8">
        <w:rPr>
          <w:rFonts w:ascii="BrowalliaUPC" w:hAnsi="BrowalliaUPC" w:cs="BrowalliaUPC"/>
          <w:sz w:val="32"/>
          <w:szCs w:val="32"/>
          <w:cs/>
        </w:rPr>
        <w:t>กพช</w:t>
      </w:r>
      <w:proofErr w:type="spellEnd"/>
      <w:r w:rsidRPr="00E12BA8">
        <w:rPr>
          <w:rFonts w:ascii="BrowalliaUPC" w:hAnsi="BrowalliaUPC" w:cs="BrowalliaUPC"/>
          <w:sz w:val="32"/>
          <w:szCs w:val="32"/>
          <w:cs/>
        </w:rPr>
        <w:t>.) ได้มีมติให้ปรับลดอัตราการส่งเงินเข้ากองทุนเพื่อส่งเสริมการอนุรักษ์พลังงาน ของน้ำมันเบนซิน น้ำมันแก๊สโซ</w:t>
      </w:r>
      <w:proofErr w:type="spellStart"/>
      <w:r w:rsidRPr="00E12BA8">
        <w:rPr>
          <w:rFonts w:ascii="BrowalliaUPC" w:hAnsi="BrowalliaUPC" w:cs="BrowalliaUPC"/>
          <w:sz w:val="32"/>
          <w:szCs w:val="32"/>
          <w:cs/>
        </w:rPr>
        <w:t>ฮอ</w:t>
      </w:r>
      <w:proofErr w:type="spellEnd"/>
      <w:r w:rsidRPr="00E12BA8">
        <w:rPr>
          <w:rFonts w:ascii="BrowalliaUPC" w:hAnsi="BrowalliaUPC" w:cs="BrowalliaUPC"/>
          <w:sz w:val="32"/>
          <w:szCs w:val="32"/>
          <w:cs/>
        </w:rPr>
        <w:t>ล น้ำมันก๊าด น้ำมันดีเซลหมุนเร็ว น้ำมันดีเซลหมุนช้า และน้ำมันเตา ในอัตรา 0.005 บาทต่อลิตร เป็นเวลา 1 ปี และอัตรา 0.05 บาทต่อลิตร เป็นเวลา 2 ปี ถัดไป</w:t>
      </w:r>
    </w:p>
    <w:p w:rsidR="00E12BA8" w:rsidRPr="00E12BA8" w:rsidRDefault="00E12BA8" w:rsidP="00E12BA8">
      <w:pPr>
        <w:spacing w:before="240" w:after="0" w:line="240" w:lineRule="auto"/>
        <w:jc w:val="thaiDistribute"/>
        <w:rPr>
          <w:rFonts w:ascii="BrowalliaUPC" w:hAnsi="BrowalliaUPC" w:cs="BrowalliaUPC"/>
          <w:sz w:val="32"/>
          <w:szCs w:val="32"/>
        </w:rPr>
      </w:pPr>
    </w:p>
    <w:p w:rsidR="00E12BA8" w:rsidRPr="00E12BA8" w:rsidRDefault="00E12BA8" w:rsidP="00E12BA8">
      <w:pPr>
        <w:spacing w:before="240" w:after="0" w:line="240" w:lineRule="auto"/>
        <w:jc w:val="thaiDistribute"/>
        <w:rPr>
          <w:rFonts w:ascii="BrowalliaUPC" w:hAnsi="BrowalliaUPC" w:cs="BrowalliaUPC"/>
          <w:sz w:val="32"/>
          <w:szCs w:val="32"/>
        </w:rPr>
      </w:pPr>
      <w:r w:rsidRPr="00E12BA8">
        <w:rPr>
          <w:rFonts w:ascii="BrowalliaUPC" w:hAnsi="BrowalliaUPC" w:cs="BrowalliaUPC"/>
          <w:sz w:val="32"/>
          <w:szCs w:val="32"/>
          <w:cs/>
        </w:rPr>
        <w:t xml:space="preserve">        3. เมื่อวันที่ 16 พฤศจิกายน 2564 สหพันธ์การขนส่งทางบกแห่งประเทศไทย ได้ยื่นหนังสือต่อกระทรวงพลังงานโดยมีข้อเรียกร้องในการบรรเทาผลกระทบจากราคาน้ำมันดีเซลหมุนเร็วที่ปรับตัวสูงขึ้น ดังนี้ (1) ตรึงราคาน้ำมันดีเซลหมุนเร็ว บี7 ที่ 25 บาทต่อลิตร เป็นเวลา 1 ปี (2) ลดภาษีสรรพสามิตลง 5 บาทต่อลิตร เป็นเวลา 1 ปี (3) ยกเลิกการนำ</w:t>
      </w:r>
      <w:proofErr w:type="spellStart"/>
      <w:r w:rsidRPr="00E12BA8">
        <w:rPr>
          <w:rFonts w:ascii="BrowalliaUPC" w:hAnsi="BrowalliaUPC" w:cs="BrowalliaUPC"/>
          <w:sz w:val="32"/>
          <w:szCs w:val="32"/>
          <w:cs/>
        </w:rPr>
        <w:t>ไบ</w:t>
      </w:r>
      <w:proofErr w:type="spellEnd"/>
      <w:r w:rsidRPr="00E12BA8">
        <w:rPr>
          <w:rFonts w:ascii="BrowalliaUPC" w:hAnsi="BrowalliaUPC" w:cs="BrowalliaUPC"/>
          <w:sz w:val="32"/>
          <w:szCs w:val="32"/>
          <w:cs/>
        </w:rPr>
        <w:t>โอดีเซลมาผสมในน้ำมันดีเซลหมุนเร็วเป็นเวลา 1 ปี และ (4) ปรับโครงสร้างราคาน้ำมันให้เป็นธรรม โดยลดราคาหน้าโรงกลั่น งดจัดเก็บเงินส่งเข้ากองทุน</w:t>
      </w:r>
      <w:proofErr w:type="spellStart"/>
      <w:r w:rsidRPr="00E12BA8">
        <w:rPr>
          <w:rFonts w:ascii="BrowalliaUPC" w:hAnsi="BrowalliaUPC" w:cs="BrowalliaUPC"/>
          <w:sz w:val="32"/>
          <w:szCs w:val="32"/>
          <w:cs/>
        </w:rPr>
        <w:t>ต่างๆ</w:t>
      </w:r>
      <w:proofErr w:type="spellEnd"/>
      <w:r w:rsidRPr="00E12BA8">
        <w:rPr>
          <w:rFonts w:ascii="BrowalliaUPC" w:hAnsi="BrowalliaUPC" w:cs="BrowalliaUPC"/>
          <w:sz w:val="32"/>
          <w:szCs w:val="32"/>
          <w:cs/>
        </w:rPr>
        <w:t xml:space="preserve"> และลดค่าการตลาด ทั้งนี้ กระทรวงพลังงานได้หารือกับหน่วยงานที่เกี่ยวข้องเพื่อบรรเทาความเดือดร้อนของประชาชนจากราคาน้ำมันดีเซลหมุนเร็วที่ปรับตัวสูงขึ้น โดยมีข้อสรุป ดังนี้ (1) มาตรการบรรเทาผลกระทบในช่วงเดือนธันวาคม 2564 ถึงมีนาคม 2565 ปรับลดสัดส่วนการผสม</w:t>
      </w:r>
      <w:proofErr w:type="spellStart"/>
      <w:r w:rsidRPr="00E12BA8">
        <w:rPr>
          <w:rFonts w:ascii="BrowalliaUPC" w:hAnsi="BrowalliaUPC" w:cs="BrowalliaUPC"/>
          <w:sz w:val="32"/>
          <w:szCs w:val="32"/>
          <w:cs/>
        </w:rPr>
        <w:t>ไบ</w:t>
      </w:r>
      <w:proofErr w:type="spellEnd"/>
      <w:r w:rsidRPr="00E12BA8">
        <w:rPr>
          <w:rFonts w:ascii="BrowalliaUPC" w:hAnsi="BrowalliaUPC" w:cs="BrowalliaUPC"/>
          <w:sz w:val="32"/>
          <w:szCs w:val="32"/>
          <w:cs/>
        </w:rPr>
        <w:t xml:space="preserve">โอดีเซลในน้ำมันดีเซลหมุนเร็ว จากเดิมมีการผสมอยู่ 3 สัดส่วน คือ ร้อยละ 7 (บี7) ร้อยละ 10 (บี10) และร้อยละ 20 (บี20) ให้มีสัดส่วนผสมเดียว คือ ร้อยละ 7 (บี7) และขอให้ผู้ค้าน้ำมันคงค่าการตลาดกลุ่มน้ำมันดีเซลหมุนเร็วไม่เกิน 1.40 บาทต่อลิตร และ (2) แนวทางดำเนินการตามมาตรการบรรเทาผลกระทบ โดยให้ </w:t>
      </w:r>
      <w:proofErr w:type="spellStart"/>
      <w:r w:rsidRPr="00E12BA8">
        <w:rPr>
          <w:rFonts w:ascii="BrowalliaUPC" w:hAnsi="BrowalliaUPC" w:cs="BrowalliaUPC"/>
          <w:sz w:val="32"/>
          <w:szCs w:val="32"/>
          <w:cs/>
        </w:rPr>
        <w:t>ธพ</w:t>
      </w:r>
      <w:proofErr w:type="spellEnd"/>
      <w:r w:rsidRPr="00E12BA8">
        <w:rPr>
          <w:rFonts w:ascii="BrowalliaUPC" w:hAnsi="BrowalliaUPC" w:cs="BrowalliaUPC"/>
          <w:sz w:val="32"/>
          <w:szCs w:val="32"/>
          <w:cs/>
        </w:rPr>
        <w:t>. ออกประกาศ เรื่อง กำหนดลักษณะและคุณภาพของน้ำมันดีเซล พ.ศ. …. ใหม่ ที่มีส่วนผสมของ</w:t>
      </w:r>
      <w:proofErr w:type="spellStart"/>
      <w:r w:rsidRPr="00E12BA8">
        <w:rPr>
          <w:rFonts w:ascii="BrowalliaUPC" w:hAnsi="BrowalliaUPC" w:cs="BrowalliaUPC"/>
          <w:sz w:val="32"/>
          <w:szCs w:val="32"/>
          <w:cs/>
        </w:rPr>
        <w:t>ไบ</w:t>
      </w:r>
      <w:proofErr w:type="spellEnd"/>
      <w:r w:rsidRPr="00E12BA8">
        <w:rPr>
          <w:rFonts w:ascii="BrowalliaUPC" w:hAnsi="BrowalliaUPC" w:cs="BrowalliaUPC"/>
          <w:sz w:val="32"/>
          <w:szCs w:val="32"/>
          <w:cs/>
        </w:rPr>
        <w:t>โอดีเซลร้อยละ 7 และให้กองทุนน้ำมันฯ ชดเชยราคาน้ำมันดีเซลหมุนเร็วให้สอดคล้องกับมาตรการบรรเทาผลกระทบ โดยการดำเนินการตามมาตรการดังกล่าว ประกอบกับการคาดการณ์ราคาน้ำมันดิบดูไบเดือนธันวาคม 2564 มกราคม 2565 กุมภาพันธ์ 2565 และมีนาคม 2565 ที่คาดว่าจะมีแนวโน้มลดลงอยู่ในระดับ 79.71 78.53 77.71 และ 76.90 เหรียญสหรัฐฯ ต่อบาร์เรล ตามลำดับจะทำให้ราคาขายปลีกน้ำมันดีเซลหมุนเร็ว บี7 ลดลงจากปัจจุบันซึ่งอยู่ที่ระดับ 28.84 บาทต่อลิตร มาอยู่ที่ระดับ 28.07 27.99 27.95 และ 27.92 บาทต่อลิตร ตามลำดับ</w:t>
      </w:r>
    </w:p>
    <w:p w:rsidR="00E12BA8" w:rsidRPr="00E12BA8" w:rsidRDefault="00E12BA8" w:rsidP="00E12BA8">
      <w:pPr>
        <w:spacing w:before="240" w:after="0" w:line="240" w:lineRule="auto"/>
        <w:jc w:val="thaiDistribute"/>
        <w:rPr>
          <w:rFonts w:ascii="BrowalliaUPC" w:hAnsi="BrowalliaUPC" w:cs="BrowalliaUPC"/>
          <w:sz w:val="32"/>
          <w:szCs w:val="32"/>
        </w:rPr>
      </w:pPr>
    </w:p>
    <w:p w:rsidR="00E12BA8" w:rsidRPr="00E12BA8" w:rsidRDefault="00E12BA8" w:rsidP="00E12BA8">
      <w:pPr>
        <w:spacing w:before="240" w:after="0" w:line="240" w:lineRule="auto"/>
        <w:jc w:val="thaiDistribute"/>
        <w:rPr>
          <w:rFonts w:ascii="BrowalliaUPC" w:hAnsi="BrowalliaUPC" w:cs="BrowalliaUPC"/>
          <w:sz w:val="32"/>
          <w:szCs w:val="32"/>
          <w:u w:val="single"/>
        </w:rPr>
      </w:pPr>
      <w:r w:rsidRPr="00E12BA8">
        <w:rPr>
          <w:rFonts w:ascii="BrowalliaUPC" w:hAnsi="BrowalliaUPC" w:cs="BrowalliaUPC"/>
          <w:sz w:val="32"/>
          <w:szCs w:val="32"/>
          <w:u w:val="single"/>
          <w:cs/>
        </w:rPr>
        <w:lastRenderedPageBreak/>
        <w:t>มติของที่ประชุม</w:t>
      </w:r>
    </w:p>
    <w:p w:rsidR="00E12BA8" w:rsidRPr="00E12BA8" w:rsidRDefault="00E12BA8" w:rsidP="00E12BA8">
      <w:pPr>
        <w:spacing w:before="240" w:after="0" w:line="240" w:lineRule="auto"/>
        <w:jc w:val="thaiDistribute"/>
        <w:rPr>
          <w:rFonts w:ascii="BrowalliaUPC" w:hAnsi="BrowalliaUPC" w:cs="BrowalliaUPC"/>
          <w:sz w:val="32"/>
          <w:szCs w:val="32"/>
        </w:rPr>
      </w:pPr>
      <w:r w:rsidRPr="00E12BA8">
        <w:rPr>
          <w:rFonts w:ascii="BrowalliaUPC" w:hAnsi="BrowalliaUPC" w:cs="BrowalliaUPC"/>
          <w:sz w:val="32"/>
          <w:szCs w:val="32"/>
          <w:cs/>
        </w:rPr>
        <w:t xml:space="preserve">    1. เห็นชอบมาตรการบรรเทาผลกระทบจากราคาน้ำมันดีเซลหมุนเร็วที่ปรับตัวสูงขึ้น ตั้งแต่วันที่ 1 ธันวาคม 2564 ถึง 31 มีนาคม 2565 ดังนี้</w:t>
      </w:r>
    </w:p>
    <w:p w:rsidR="00E12BA8" w:rsidRPr="00E12BA8" w:rsidRDefault="00E12BA8" w:rsidP="00E12BA8">
      <w:pPr>
        <w:spacing w:before="240" w:after="0" w:line="240" w:lineRule="auto"/>
        <w:jc w:val="thaiDistribute"/>
        <w:rPr>
          <w:rFonts w:ascii="BrowalliaUPC" w:hAnsi="BrowalliaUPC" w:cs="BrowalliaUPC"/>
          <w:sz w:val="32"/>
          <w:szCs w:val="32"/>
        </w:rPr>
      </w:pPr>
      <w:r w:rsidRPr="00E12BA8">
        <w:rPr>
          <w:rFonts w:ascii="BrowalliaUPC" w:hAnsi="BrowalliaUPC" w:cs="BrowalliaUPC"/>
          <w:sz w:val="32"/>
          <w:szCs w:val="32"/>
          <w:cs/>
        </w:rPr>
        <w:t xml:space="preserve">        1) กำหนดสัดส่วนการผสม</w:t>
      </w:r>
      <w:proofErr w:type="spellStart"/>
      <w:r w:rsidRPr="00E12BA8">
        <w:rPr>
          <w:rFonts w:ascii="BrowalliaUPC" w:hAnsi="BrowalliaUPC" w:cs="BrowalliaUPC"/>
          <w:sz w:val="32"/>
          <w:szCs w:val="32"/>
          <w:cs/>
        </w:rPr>
        <w:t>ไบ</w:t>
      </w:r>
      <w:proofErr w:type="spellEnd"/>
      <w:r w:rsidRPr="00E12BA8">
        <w:rPr>
          <w:rFonts w:ascii="BrowalliaUPC" w:hAnsi="BrowalliaUPC" w:cs="BrowalliaUPC"/>
          <w:sz w:val="32"/>
          <w:szCs w:val="32"/>
          <w:cs/>
        </w:rPr>
        <w:t>โอดีเซลประเภทเมท</w:t>
      </w:r>
      <w:proofErr w:type="spellStart"/>
      <w:r w:rsidRPr="00E12BA8">
        <w:rPr>
          <w:rFonts w:ascii="BrowalliaUPC" w:hAnsi="BrowalliaUPC" w:cs="BrowalliaUPC"/>
          <w:sz w:val="32"/>
          <w:szCs w:val="32"/>
          <w:cs/>
        </w:rPr>
        <w:t>ิล</w:t>
      </w:r>
      <w:proofErr w:type="spellEnd"/>
      <w:r w:rsidRPr="00E12BA8">
        <w:rPr>
          <w:rFonts w:ascii="BrowalliaUPC" w:hAnsi="BrowalliaUPC" w:cs="BrowalliaUPC"/>
          <w:sz w:val="32"/>
          <w:szCs w:val="32"/>
          <w:cs/>
        </w:rPr>
        <w:t>เอส</w:t>
      </w:r>
      <w:proofErr w:type="spellStart"/>
      <w:r w:rsidRPr="00E12BA8">
        <w:rPr>
          <w:rFonts w:ascii="BrowalliaUPC" w:hAnsi="BrowalliaUPC" w:cs="BrowalliaUPC"/>
          <w:sz w:val="32"/>
          <w:szCs w:val="32"/>
          <w:cs/>
        </w:rPr>
        <w:t>เต</w:t>
      </w:r>
      <w:proofErr w:type="spellEnd"/>
      <w:r w:rsidRPr="00E12BA8">
        <w:rPr>
          <w:rFonts w:ascii="BrowalliaUPC" w:hAnsi="BrowalliaUPC" w:cs="BrowalliaUPC"/>
          <w:sz w:val="32"/>
          <w:szCs w:val="32"/>
          <w:cs/>
        </w:rPr>
        <w:t>อร์ของกรดไขมันให้เป็นไปตามสัดส่วนการผสมของกลุ่มน้ำมันดีเซลหมุนเร็ว ดังนี้ น้ำมันดีเซลหมุนเร็ว บี7 ไม่ต่ำกว่าร้อยละ 6.6 และไม่สูงกว่าร้อยละ 7 โดยปริมาตร น้ำมันดีเซลหมุนเร็วธรรมดา ไม่ต่ำกว่าร้อยละ 6.6 และไม่สูงกว่าร้อยละ 10 โดยปริมาตร และน้ำมันดีเซลหมุนเร็ว บี20 ไม่ต่ำกว่าร้อยละ 6.6 และไม่สูงกว่าร้อยละ 20 โดยปริมาตร</w:t>
      </w:r>
    </w:p>
    <w:p w:rsidR="00E12BA8" w:rsidRDefault="00E12BA8" w:rsidP="00E12BA8">
      <w:pPr>
        <w:spacing w:before="240" w:after="0" w:line="240" w:lineRule="auto"/>
        <w:jc w:val="thaiDistribute"/>
        <w:rPr>
          <w:rFonts w:ascii="BrowalliaUPC" w:hAnsi="BrowalliaUPC" w:cs="BrowalliaUPC"/>
          <w:sz w:val="32"/>
          <w:szCs w:val="32"/>
        </w:rPr>
      </w:pPr>
      <w:r w:rsidRPr="00E12BA8">
        <w:rPr>
          <w:rFonts w:ascii="BrowalliaUPC" w:hAnsi="BrowalliaUPC" w:cs="BrowalliaUPC"/>
          <w:sz w:val="32"/>
          <w:szCs w:val="32"/>
          <w:cs/>
        </w:rPr>
        <w:t xml:space="preserve">        2) ขอความร่วมมือจากผู้ค้าน้ำมันเชื้อเพลิง คงค่าการตลาดน้ำมันเชื้อเพลิงกลุ่มดีเซลไม่เกิน 1.40 บาทต่อลิตร</w:t>
      </w:r>
    </w:p>
    <w:p w:rsidR="00E12BA8" w:rsidRPr="00E12BA8" w:rsidRDefault="00E12BA8" w:rsidP="00E12BA8">
      <w:pPr>
        <w:spacing w:before="240" w:after="0" w:line="240" w:lineRule="auto"/>
        <w:jc w:val="thaiDistribute"/>
        <w:rPr>
          <w:rFonts w:ascii="BrowalliaUPC" w:hAnsi="BrowalliaUPC" w:cs="BrowalliaUPC"/>
          <w:sz w:val="32"/>
          <w:szCs w:val="32"/>
        </w:rPr>
      </w:pPr>
    </w:p>
    <w:p w:rsidR="00E12BA8" w:rsidRPr="00E12BA8" w:rsidRDefault="00E12BA8" w:rsidP="00E12BA8">
      <w:pPr>
        <w:spacing w:before="240" w:after="0" w:line="240" w:lineRule="auto"/>
        <w:jc w:val="thaiDistribute"/>
        <w:rPr>
          <w:rFonts w:ascii="BrowalliaUPC" w:hAnsi="BrowalliaUPC" w:cs="BrowalliaUPC"/>
          <w:sz w:val="32"/>
          <w:szCs w:val="32"/>
        </w:rPr>
      </w:pPr>
      <w:r w:rsidRPr="00E12BA8">
        <w:rPr>
          <w:rFonts w:ascii="BrowalliaUPC" w:hAnsi="BrowalliaUPC" w:cs="BrowalliaUPC"/>
          <w:sz w:val="32"/>
          <w:szCs w:val="32"/>
          <w:cs/>
        </w:rPr>
        <w:t xml:space="preserve">    2. มอบหมายกรมธุรกิจพลังงาน (</w:t>
      </w:r>
      <w:proofErr w:type="spellStart"/>
      <w:r w:rsidRPr="00E12BA8">
        <w:rPr>
          <w:rFonts w:ascii="BrowalliaUPC" w:hAnsi="BrowalliaUPC" w:cs="BrowalliaUPC"/>
          <w:sz w:val="32"/>
          <w:szCs w:val="32"/>
          <w:cs/>
        </w:rPr>
        <w:t>ธพ</w:t>
      </w:r>
      <w:proofErr w:type="spellEnd"/>
      <w:r w:rsidRPr="00E12BA8">
        <w:rPr>
          <w:rFonts w:ascii="BrowalliaUPC" w:hAnsi="BrowalliaUPC" w:cs="BrowalliaUPC"/>
          <w:sz w:val="32"/>
          <w:szCs w:val="32"/>
          <w:cs/>
        </w:rPr>
        <w:t>.) ออกประกาศ เรื่อง กำหนดลักษณะและคุณภาพของน้ำมันดีเซล พ.ศ. ….</w:t>
      </w:r>
    </w:p>
    <w:p w:rsidR="00E12BA8" w:rsidRPr="00E12BA8" w:rsidRDefault="00E12BA8" w:rsidP="00E12BA8">
      <w:pPr>
        <w:spacing w:before="240" w:after="0" w:line="240" w:lineRule="auto"/>
        <w:jc w:val="thaiDistribute"/>
        <w:rPr>
          <w:rFonts w:ascii="BrowalliaUPC" w:hAnsi="BrowalliaUPC" w:cs="BrowalliaUPC"/>
          <w:sz w:val="32"/>
          <w:szCs w:val="32"/>
        </w:rPr>
      </w:pPr>
    </w:p>
    <w:p w:rsidR="00E12BA8" w:rsidRPr="00E12BA8" w:rsidRDefault="00E12BA8" w:rsidP="00E12BA8">
      <w:pPr>
        <w:spacing w:before="240" w:after="0" w:line="240" w:lineRule="auto"/>
        <w:jc w:val="thaiDistribute"/>
        <w:rPr>
          <w:rFonts w:ascii="BrowalliaUPC" w:hAnsi="BrowalliaUPC" w:cs="BrowalliaUPC"/>
          <w:sz w:val="32"/>
          <w:szCs w:val="32"/>
        </w:rPr>
      </w:pPr>
      <w:r w:rsidRPr="00E12BA8">
        <w:rPr>
          <w:rFonts w:ascii="BrowalliaUPC" w:hAnsi="BrowalliaUPC" w:cs="BrowalliaUPC"/>
          <w:sz w:val="32"/>
          <w:szCs w:val="32"/>
          <w:cs/>
        </w:rPr>
        <w:t xml:space="preserve">    3. มอบหมายฝ่ายเลขานุการฯ ประสานสำนักงานกองทุนน้ำมันเชื้อเพลิง (สกนช.) นำเสนอคณะกรรมการบริหารกองทุนน้ำมันเชื้อเพลิง (กบน.) พิจารณาปรับอัตราเงินกองทุนน้ำมันเชื้อเพลิงของน้ำมันเชื้อเพลิงกลุ่มดีเซลให้สอดคล้องกับมาตรการบรรเทาผลกระทบจากราคาน้ำมันดีเซลหมุนเร็วที่ปรับตัวสูงขึ้น</w:t>
      </w:r>
    </w:p>
    <w:p w:rsidR="00E12BA8" w:rsidRPr="00E12BA8" w:rsidRDefault="00E12BA8" w:rsidP="00E12BA8">
      <w:pPr>
        <w:spacing w:before="240" w:after="0" w:line="240" w:lineRule="auto"/>
        <w:jc w:val="thaiDistribute"/>
        <w:rPr>
          <w:rFonts w:ascii="BrowalliaUPC" w:hAnsi="BrowalliaUPC" w:cs="BrowalliaUPC"/>
          <w:sz w:val="32"/>
          <w:szCs w:val="32"/>
        </w:rPr>
      </w:pPr>
    </w:p>
    <w:p w:rsidR="00E12BA8" w:rsidRPr="00E12BA8" w:rsidRDefault="00E12BA8" w:rsidP="00E12BA8">
      <w:pPr>
        <w:spacing w:before="240" w:after="0" w:line="240" w:lineRule="auto"/>
        <w:jc w:val="thaiDistribute"/>
        <w:rPr>
          <w:rFonts w:ascii="BrowalliaUPC" w:hAnsi="BrowalliaUPC" w:cs="BrowalliaUPC"/>
          <w:sz w:val="32"/>
          <w:szCs w:val="32"/>
        </w:rPr>
      </w:pPr>
      <w:r w:rsidRPr="00E12BA8">
        <w:rPr>
          <w:rFonts w:ascii="BrowalliaUPC" w:hAnsi="BrowalliaUPC" w:cs="BrowalliaUPC"/>
          <w:sz w:val="32"/>
          <w:szCs w:val="32"/>
          <w:cs/>
        </w:rPr>
        <w:t xml:space="preserve">    4. มอบหมายฝ่ายเลขานุการฯ ประสาน สกนช. นำเสนอ กบน. ใช้กลไกกองทุนน้ำมันเชื้อเพลิงในการบริหารจัดการอัตราเงินกองทุน เพื่อให้ค่าการตลาดของน้ำมันเชื้อเพลิงกลุ่มดีเซลแต่ละชนิดไม่เกิน 1.40 บาทต่อลิตร</w:t>
      </w:r>
    </w:p>
    <w:p w:rsidR="00E12BA8" w:rsidRPr="00E12BA8" w:rsidRDefault="00E12BA8" w:rsidP="00E12BA8">
      <w:pPr>
        <w:spacing w:before="240" w:after="0" w:line="240" w:lineRule="auto"/>
        <w:jc w:val="thaiDistribute"/>
        <w:rPr>
          <w:rFonts w:ascii="BrowalliaUPC" w:hAnsi="BrowalliaUPC" w:cs="BrowalliaUPC"/>
          <w:sz w:val="32"/>
          <w:szCs w:val="32"/>
        </w:rPr>
      </w:pPr>
    </w:p>
    <w:p w:rsidR="00842C99" w:rsidRPr="00015F5C" w:rsidRDefault="00E12BA8" w:rsidP="00E12BA8">
      <w:pPr>
        <w:spacing w:before="240" w:after="0" w:line="240" w:lineRule="auto"/>
        <w:jc w:val="thaiDistribute"/>
        <w:rPr>
          <w:rFonts w:ascii="BrowalliaUPC" w:hAnsi="BrowalliaUPC" w:cs="BrowalliaUPC"/>
          <w:sz w:val="32"/>
          <w:szCs w:val="32"/>
          <w:u w:val="single"/>
        </w:rPr>
      </w:pPr>
      <w:r w:rsidRPr="00E12BA8">
        <w:rPr>
          <w:rFonts w:ascii="BrowalliaUPC" w:hAnsi="BrowalliaUPC" w:cs="BrowalliaUPC"/>
          <w:sz w:val="32"/>
          <w:szCs w:val="32"/>
          <w:cs/>
        </w:rPr>
        <w:t xml:space="preserve">    5. มอบหมายกระทรวงพลังงานประสานฝ่ายเลขานุการคณะกรรมการนโยบายปาล์มน้ำมันแห่งชาติ (กนป.) นำเสนอมาตรการส่งเสริมการส่งออกน้ำมันปาล์มดิบแก่ กนป. เพื่อพิจารณาต่อไป</w:t>
      </w:r>
    </w:p>
    <w:sectPr w:rsidR="00842C99" w:rsidRPr="00015F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82DE5"/>
    <w:multiLevelType w:val="hybridMultilevel"/>
    <w:tmpl w:val="708E64EC"/>
    <w:lvl w:ilvl="0" w:tplc="917849F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69EA03A9"/>
    <w:multiLevelType w:val="hybridMultilevel"/>
    <w:tmpl w:val="3F40E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005956"/>
    <w:multiLevelType w:val="hybridMultilevel"/>
    <w:tmpl w:val="92BE1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15F5C"/>
    <w:rsid w:val="00052B2D"/>
    <w:rsid w:val="0007438B"/>
    <w:rsid w:val="00074B04"/>
    <w:rsid w:val="000818F6"/>
    <w:rsid w:val="00081FE8"/>
    <w:rsid w:val="000A6BE0"/>
    <w:rsid w:val="000B7062"/>
    <w:rsid w:val="000D17E5"/>
    <w:rsid w:val="001104AF"/>
    <w:rsid w:val="00125423"/>
    <w:rsid w:val="001353EF"/>
    <w:rsid w:val="00186210"/>
    <w:rsid w:val="00190A93"/>
    <w:rsid w:val="001E21DF"/>
    <w:rsid w:val="001E5891"/>
    <w:rsid w:val="001F4883"/>
    <w:rsid w:val="002B01EF"/>
    <w:rsid w:val="002B0649"/>
    <w:rsid w:val="002C2D79"/>
    <w:rsid w:val="002C32C2"/>
    <w:rsid w:val="00303495"/>
    <w:rsid w:val="003155E8"/>
    <w:rsid w:val="00321E7C"/>
    <w:rsid w:val="0033392F"/>
    <w:rsid w:val="003378F6"/>
    <w:rsid w:val="003565E6"/>
    <w:rsid w:val="003902DA"/>
    <w:rsid w:val="003C05DE"/>
    <w:rsid w:val="003C68AD"/>
    <w:rsid w:val="0041711A"/>
    <w:rsid w:val="00434545"/>
    <w:rsid w:val="00473140"/>
    <w:rsid w:val="004F0454"/>
    <w:rsid w:val="00510572"/>
    <w:rsid w:val="005274E8"/>
    <w:rsid w:val="005505F3"/>
    <w:rsid w:val="005B20DB"/>
    <w:rsid w:val="005B2795"/>
    <w:rsid w:val="005E3002"/>
    <w:rsid w:val="005F0225"/>
    <w:rsid w:val="006002F7"/>
    <w:rsid w:val="00601CDF"/>
    <w:rsid w:val="0065487F"/>
    <w:rsid w:val="006829A1"/>
    <w:rsid w:val="0068355E"/>
    <w:rsid w:val="006A53D4"/>
    <w:rsid w:val="006D07C9"/>
    <w:rsid w:val="00700C20"/>
    <w:rsid w:val="0073563C"/>
    <w:rsid w:val="00762DB4"/>
    <w:rsid w:val="00763BF2"/>
    <w:rsid w:val="007814E9"/>
    <w:rsid w:val="0079682D"/>
    <w:rsid w:val="007D05B4"/>
    <w:rsid w:val="007D1741"/>
    <w:rsid w:val="007E233A"/>
    <w:rsid w:val="008202F0"/>
    <w:rsid w:val="00842C99"/>
    <w:rsid w:val="00845AA0"/>
    <w:rsid w:val="00882D2F"/>
    <w:rsid w:val="008B6F92"/>
    <w:rsid w:val="009140F3"/>
    <w:rsid w:val="0092000D"/>
    <w:rsid w:val="009549CC"/>
    <w:rsid w:val="009631DC"/>
    <w:rsid w:val="00974AA2"/>
    <w:rsid w:val="00996C05"/>
    <w:rsid w:val="009C392C"/>
    <w:rsid w:val="009C531E"/>
    <w:rsid w:val="009E74B6"/>
    <w:rsid w:val="00A036A0"/>
    <w:rsid w:val="00A0386A"/>
    <w:rsid w:val="00A14466"/>
    <w:rsid w:val="00AB00BD"/>
    <w:rsid w:val="00AC25CE"/>
    <w:rsid w:val="00AC2E86"/>
    <w:rsid w:val="00B07511"/>
    <w:rsid w:val="00B320DE"/>
    <w:rsid w:val="00B3248A"/>
    <w:rsid w:val="00B37711"/>
    <w:rsid w:val="00B70ECA"/>
    <w:rsid w:val="00B82BA4"/>
    <w:rsid w:val="00BA4740"/>
    <w:rsid w:val="00BC4838"/>
    <w:rsid w:val="00BD2705"/>
    <w:rsid w:val="00BF6BE2"/>
    <w:rsid w:val="00C150FC"/>
    <w:rsid w:val="00C16C7B"/>
    <w:rsid w:val="00C63DE4"/>
    <w:rsid w:val="00C77F61"/>
    <w:rsid w:val="00C823AD"/>
    <w:rsid w:val="00C90EFA"/>
    <w:rsid w:val="00CA7F17"/>
    <w:rsid w:val="00CB0846"/>
    <w:rsid w:val="00CC161E"/>
    <w:rsid w:val="00CC2513"/>
    <w:rsid w:val="00CD2685"/>
    <w:rsid w:val="00CD462B"/>
    <w:rsid w:val="00CD7446"/>
    <w:rsid w:val="00CE560F"/>
    <w:rsid w:val="00D01F59"/>
    <w:rsid w:val="00D127B7"/>
    <w:rsid w:val="00D54881"/>
    <w:rsid w:val="00D845E3"/>
    <w:rsid w:val="00D85602"/>
    <w:rsid w:val="00D90A89"/>
    <w:rsid w:val="00DD2D74"/>
    <w:rsid w:val="00DE4E81"/>
    <w:rsid w:val="00DF46A2"/>
    <w:rsid w:val="00E03295"/>
    <w:rsid w:val="00E12BA8"/>
    <w:rsid w:val="00E16F3D"/>
    <w:rsid w:val="00E20782"/>
    <w:rsid w:val="00E2462F"/>
    <w:rsid w:val="00E36A55"/>
    <w:rsid w:val="00E739AC"/>
    <w:rsid w:val="00EA1B9A"/>
    <w:rsid w:val="00EB47BD"/>
    <w:rsid w:val="00ED18F5"/>
    <w:rsid w:val="00EE5E1E"/>
    <w:rsid w:val="00EF6C6F"/>
    <w:rsid w:val="00F01557"/>
    <w:rsid w:val="00F1660A"/>
    <w:rsid w:val="00F3412F"/>
    <w:rsid w:val="00F6036F"/>
    <w:rsid w:val="00F61112"/>
    <w:rsid w:val="00F66F87"/>
    <w:rsid w:val="00F87913"/>
    <w:rsid w:val="00FA5EA4"/>
    <w:rsid w:val="00FB212A"/>
    <w:rsid w:val="00FD6D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B7628"/>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24719279">
      <w:bodyDiv w:val="1"/>
      <w:marLeft w:val="0"/>
      <w:marRight w:val="0"/>
      <w:marTop w:val="0"/>
      <w:marBottom w:val="0"/>
      <w:divBdr>
        <w:top w:val="none" w:sz="0" w:space="0" w:color="auto"/>
        <w:left w:val="none" w:sz="0" w:space="0" w:color="auto"/>
        <w:bottom w:val="none" w:sz="0" w:space="0" w:color="auto"/>
        <w:right w:val="none" w:sz="0" w:space="0" w:color="auto"/>
      </w:divBdr>
    </w:div>
    <w:div w:id="76679980">
      <w:bodyDiv w:val="1"/>
      <w:marLeft w:val="0"/>
      <w:marRight w:val="0"/>
      <w:marTop w:val="0"/>
      <w:marBottom w:val="0"/>
      <w:divBdr>
        <w:top w:val="none" w:sz="0" w:space="0" w:color="auto"/>
        <w:left w:val="none" w:sz="0" w:space="0" w:color="auto"/>
        <w:bottom w:val="none" w:sz="0" w:space="0" w:color="auto"/>
        <w:right w:val="none" w:sz="0" w:space="0" w:color="auto"/>
      </w:divBdr>
    </w:div>
    <w:div w:id="95567886">
      <w:bodyDiv w:val="1"/>
      <w:marLeft w:val="0"/>
      <w:marRight w:val="0"/>
      <w:marTop w:val="0"/>
      <w:marBottom w:val="0"/>
      <w:divBdr>
        <w:top w:val="none" w:sz="0" w:space="0" w:color="auto"/>
        <w:left w:val="none" w:sz="0" w:space="0" w:color="auto"/>
        <w:bottom w:val="none" w:sz="0" w:space="0" w:color="auto"/>
        <w:right w:val="none" w:sz="0" w:space="0" w:color="auto"/>
      </w:divBdr>
    </w:div>
    <w:div w:id="99230743">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58472875">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268828">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84368290">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21645631">
      <w:bodyDiv w:val="1"/>
      <w:marLeft w:val="0"/>
      <w:marRight w:val="0"/>
      <w:marTop w:val="0"/>
      <w:marBottom w:val="0"/>
      <w:divBdr>
        <w:top w:val="none" w:sz="0" w:space="0" w:color="auto"/>
        <w:left w:val="none" w:sz="0" w:space="0" w:color="auto"/>
        <w:bottom w:val="none" w:sz="0" w:space="0" w:color="auto"/>
        <w:right w:val="none" w:sz="0" w:space="0" w:color="auto"/>
      </w:divBdr>
    </w:div>
    <w:div w:id="234168144">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57369491">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08638001">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2413276">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8384200">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379863312">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33670694">
      <w:bodyDiv w:val="1"/>
      <w:marLeft w:val="0"/>
      <w:marRight w:val="0"/>
      <w:marTop w:val="0"/>
      <w:marBottom w:val="0"/>
      <w:divBdr>
        <w:top w:val="none" w:sz="0" w:space="0" w:color="auto"/>
        <w:left w:val="none" w:sz="0" w:space="0" w:color="auto"/>
        <w:bottom w:val="none" w:sz="0" w:space="0" w:color="auto"/>
        <w:right w:val="none" w:sz="0" w:space="0" w:color="auto"/>
      </w:divBdr>
    </w:div>
    <w:div w:id="451050522">
      <w:bodyDiv w:val="1"/>
      <w:marLeft w:val="0"/>
      <w:marRight w:val="0"/>
      <w:marTop w:val="0"/>
      <w:marBottom w:val="0"/>
      <w:divBdr>
        <w:top w:val="none" w:sz="0" w:space="0" w:color="auto"/>
        <w:left w:val="none" w:sz="0" w:space="0" w:color="auto"/>
        <w:bottom w:val="none" w:sz="0" w:space="0" w:color="auto"/>
        <w:right w:val="none" w:sz="0" w:space="0" w:color="auto"/>
      </w:divBdr>
    </w:div>
    <w:div w:id="452287964">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64785845">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35433716">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33948315">
      <w:bodyDiv w:val="1"/>
      <w:marLeft w:val="0"/>
      <w:marRight w:val="0"/>
      <w:marTop w:val="0"/>
      <w:marBottom w:val="0"/>
      <w:divBdr>
        <w:top w:val="none" w:sz="0" w:space="0" w:color="auto"/>
        <w:left w:val="none" w:sz="0" w:space="0" w:color="auto"/>
        <w:bottom w:val="none" w:sz="0" w:space="0" w:color="auto"/>
        <w:right w:val="none" w:sz="0" w:space="0" w:color="auto"/>
      </w:divBdr>
    </w:div>
    <w:div w:id="636450097">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73604037">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05300973">
      <w:bodyDiv w:val="1"/>
      <w:marLeft w:val="0"/>
      <w:marRight w:val="0"/>
      <w:marTop w:val="0"/>
      <w:marBottom w:val="0"/>
      <w:divBdr>
        <w:top w:val="none" w:sz="0" w:space="0" w:color="auto"/>
        <w:left w:val="none" w:sz="0" w:space="0" w:color="auto"/>
        <w:bottom w:val="none" w:sz="0" w:space="0" w:color="auto"/>
        <w:right w:val="none" w:sz="0" w:space="0" w:color="auto"/>
      </w:divBdr>
    </w:div>
    <w:div w:id="71153430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5758010">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3674322">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81847520">
      <w:bodyDiv w:val="1"/>
      <w:marLeft w:val="0"/>
      <w:marRight w:val="0"/>
      <w:marTop w:val="0"/>
      <w:marBottom w:val="0"/>
      <w:divBdr>
        <w:top w:val="none" w:sz="0" w:space="0" w:color="auto"/>
        <w:left w:val="none" w:sz="0" w:space="0" w:color="auto"/>
        <w:bottom w:val="none" w:sz="0" w:space="0" w:color="auto"/>
        <w:right w:val="none" w:sz="0" w:space="0" w:color="auto"/>
      </w:divBdr>
    </w:div>
    <w:div w:id="790437469">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22743774">
      <w:bodyDiv w:val="1"/>
      <w:marLeft w:val="0"/>
      <w:marRight w:val="0"/>
      <w:marTop w:val="0"/>
      <w:marBottom w:val="0"/>
      <w:divBdr>
        <w:top w:val="none" w:sz="0" w:space="0" w:color="auto"/>
        <w:left w:val="none" w:sz="0" w:space="0" w:color="auto"/>
        <w:bottom w:val="none" w:sz="0" w:space="0" w:color="auto"/>
        <w:right w:val="none" w:sz="0" w:space="0" w:color="auto"/>
      </w:divBdr>
    </w:div>
    <w:div w:id="835539279">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07692823">
      <w:bodyDiv w:val="1"/>
      <w:marLeft w:val="0"/>
      <w:marRight w:val="0"/>
      <w:marTop w:val="0"/>
      <w:marBottom w:val="0"/>
      <w:divBdr>
        <w:top w:val="none" w:sz="0" w:space="0" w:color="auto"/>
        <w:left w:val="none" w:sz="0" w:space="0" w:color="auto"/>
        <w:bottom w:val="none" w:sz="0" w:space="0" w:color="auto"/>
        <w:right w:val="none" w:sz="0" w:space="0" w:color="auto"/>
      </w:divBdr>
    </w:div>
    <w:div w:id="923148614">
      <w:bodyDiv w:val="1"/>
      <w:marLeft w:val="0"/>
      <w:marRight w:val="0"/>
      <w:marTop w:val="0"/>
      <w:marBottom w:val="0"/>
      <w:divBdr>
        <w:top w:val="none" w:sz="0" w:space="0" w:color="auto"/>
        <w:left w:val="none" w:sz="0" w:space="0" w:color="auto"/>
        <w:bottom w:val="none" w:sz="0" w:space="0" w:color="auto"/>
        <w:right w:val="none" w:sz="0" w:space="0" w:color="auto"/>
      </w:divBdr>
    </w:div>
    <w:div w:id="952251024">
      <w:bodyDiv w:val="1"/>
      <w:marLeft w:val="0"/>
      <w:marRight w:val="0"/>
      <w:marTop w:val="0"/>
      <w:marBottom w:val="0"/>
      <w:divBdr>
        <w:top w:val="none" w:sz="0" w:space="0" w:color="auto"/>
        <w:left w:val="none" w:sz="0" w:space="0" w:color="auto"/>
        <w:bottom w:val="none" w:sz="0" w:space="0" w:color="auto"/>
        <w:right w:val="none" w:sz="0" w:space="0" w:color="auto"/>
      </w:divBdr>
    </w:div>
    <w:div w:id="955402586">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967593407">
      <w:bodyDiv w:val="1"/>
      <w:marLeft w:val="0"/>
      <w:marRight w:val="0"/>
      <w:marTop w:val="0"/>
      <w:marBottom w:val="0"/>
      <w:divBdr>
        <w:top w:val="none" w:sz="0" w:space="0" w:color="auto"/>
        <w:left w:val="none" w:sz="0" w:space="0" w:color="auto"/>
        <w:bottom w:val="none" w:sz="0" w:space="0" w:color="auto"/>
        <w:right w:val="none" w:sz="0" w:space="0" w:color="auto"/>
      </w:divBdr>
    </w:div>
    <w:div w:id="980503238">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08936994">
      <w:bodyDiv w:val="1"/>
      <w:marLeft w:val="0"/>
      <w:marRight w:val="0"/>
      <w:marTop w:val="0"/>
      <w:marBottom w:val="0"/>
      <w:divBdr>
        <w:top w:val="none" w:sz="0" w:space="0" w:color="auto"/>
        <w:left w:val="none" w:sz="0" w:space="0" w:color="auto"/>
        <w:bottom w:val="none" w:sz="0" w:space="0" w:color="auto"/>
        <w:right w:val="none" w:sz="0" w:space="0" w:color="auto"/>
      </w:divBdr>
    </w:div>
    <w:div w:id="1142891008">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155799805">
      <w:bodyDiv w:val="1"/>
      <w:marLeft w:val="0"/>
      <w:marRight w:val="0"/>
      <w:marTop w:val="0"/>
      <w:marBottom w:val="0"/>
      <w:divBdr>
        <w:top w:val="none" w:sz="0" w:space="0" w:color="auto"/>
        <w:left w:val="none" w:sz="0" w:space="0" w:color="auto"/>
        <w:bottom w:val="none" w:sz="0" w:space="0" w:color="auto"/>
        <w:right w:val="none" w:sz="0" w:space="0" w:color="auto"/>
      </w:divBdr>
    </w:div>
    <w:div w:id="1211379482">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4263352">
      <w:bodyDiv w:val="1"/>
      <w:marLeft w:val="0"/>
      <w:marRight w:val="0"/>
      <w:marTop w:val="0"/>
      <w:marBottom w:val="0"/>
      <w:divBdr>
        <w:top w:val="none" w:sz="0" w:space="0" w:color="auto"/>
        <w:left w:val="none" w:sz="0" w:space="0" w:color="auto"/>
        <w:bottom w:val="none" w:sz="0" w:space="0" w:color="auto"/>
        <w:right w:val="none" w:sz="0" w:space="0" w:color="auto"/>
      </w:divBdr>
    </w:div>
    <w:div w:id="1267540196">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78948626">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284574179">
      <w:bodyDiv w:val="1"/>
      <w:marLeft w:val="0"/>
      <w:marRight w:val="0"/>
      <w:marTop w:val="0"/>
      <w:marBottom w:val="0"/>
      <w:divBdr>
        <w:top w:val="none" w:sz="0" w:space="0" w:color="auto"/>
        <w:left w:val="none" w:sz="0" w:space="0" w:color="auto"/>
        <w:bottom w:val="none" w:sz="0" w:space="0" w:color="auto"/>
        <w:right w:val="none" w:sz="0" w:space="0" w:color="auto"/>
      </w:divBdr>
    </w:div>
    <w:div w:id="1315061238">
      <w:bodyDiv w:val="1"/>
      <w:marLeft w:val="0"/>
      <w:marRight w:val="0"/>
      <w:marTop w:val="0"/>
      <w:marBottom w:val="0"/>
      <w:divBdr>
        <w:top w:val="none" w:sz="0" w:space="0" w:color="auto"/>
        <w:left w:val="none" w:sz="0" w:space="0" w:color="auto"/>
        <w:bottom w:val="none" w:sz="0" w:space="0" w:color="auto"/>
        <w:right w:val="none" w:sz="0" w:space="0" w:color="auto"/>
      </w:divBdr>
    </w:div>
    <w:div w:id="1337804770">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394354950">
      <w:bodyDiv w:val="1"/>
      <w:marLeft w:val="0"/>
      <w:marRight w:val="0"/>
      <w:marTop w:val="0"/>
      <w:marBottom w:val="0"/>
      <w:divBdr>
        <w:top w:val="none" w:sz="0" w:space="0" w:color="auto"/>
        <w:left w:val="none" w:sz="0" w:space="0" w:color="auto"/>
        <w:bottom w:val="none" w:sz="0" w:space="0" w:color="auto"/>
        <w:right w:val="none" w:sz="0" w:space="0" w:color="auto"/>
      </w:divBdr>
    </w:div>
    <w:div w:id="140923431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62714548">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20916796">
      <w:bodyDiv w:val="1"/>
      <w:marLeft w:val="0"/>
      <w:marRight w:val="0"/>
      <w:marTop w:val="0"/>
      <w:marBottom w:val="0"/>
      <w:divBdr>
        <w:top w:val="none" w:sz="0" w:space="0" w:color="auto"/>
        <w:left w:val="none" w:sz="0" w:space="0" w:color="auto"/>
        <w:bottom w:val="none" w:sz="0" w:space="0" w:color="auto"/>
        <w:right w:val="none" w:sz="0" w:space="0" w:color="auto"/>
      </w:divBdr>
    </w:div>
    <w:div w:id="162858665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55334529">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26031320">
      <w:bodyDiv w:val="1"/>
      <w:marLeft w:val="0"/>
      <w:marRight w:val="0"/>
      <w:marTop w:val="0"/>
      <w:marBottom w:val="0"/>
      <w:divBdr>
        <w:top w:val="none" w:sz="0" w:space="0" w:color="auto"/>
        <w:left w:val="none" w:sz="0" w:space="0" w:color="auto"/>
        <w:bottom w:val="none" w:sz="0" w:space="0" w:color="auto"/>
        <w:right w:val="none" w:sz="0" w:space="0" w:color="auto"/>
      </w:divBdr>
    </w:div>
    <w:div w:id="173207797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748843497">
      <w:bodyDiv w:val="1"/>
      <w:marLeft w:val="0"/>
      <w:marRight w:val="0"/>
      <w:marTop w:val="0"/>
      <w:marBottom w:val="0"/>
      <w:divBdr>
        <w:top w:val="none" w:sz="0" w:space="0" w:color="auto"/>
        <w:left w:val="none" w:sz="0" w:space="0" w:color="auto"/>
        <w:bottom w:val="none" w:sz="0" w:space="0" w:color="auto"/>
        <w:right w:val="none" w:sz="0" w:space="0" w:color="auto"/>
      </w:divBdr>
    </w:div>
    <w:div w:id="1766419927">
      <w:bodyDiv w:val="1"/>
      <w:marLeft w:val="0"/>
      <w:marRight w:val="0"/>
      <w:marTop w:val="0"/>
      <w:marBottom w:val="0"/>
      <w:divBdr>
        <w:top w:val="none" w:sz="0" w:space="0" w:color="auto"/>
        <w:left w:val="none" w:sz="0" w:space="0" w:color="auto"/>
        <w:bottom w:val="none" w:sz="0" w:space="0" w:color="auto"/>
        <w:right w:val="none" w:sz="0" w:space="0" w:color="auto"/>
      </w:divBdr>
    </w:div>
    <w:div w:id="1769496084">
      <w:bodyDiv w:val="1"/>
      <w:marLeft w:val="0"/>
      <w:marRight w:val="0"/>
      <w:marTop w:val="0"/>
      <w:marBottom w:val="0"/>
      <w:divBdr>
        <w:top w:val="none" w:sz="0" w:space="0" w:color="auto"/>
        <w:left w:val="none" w:sz="0" w:space="0" w:color="auto"/>
        <w:bottom w:val="none" w:sz="0" w:space="0" w:color="auto"/>
        <w:right w:val="none" w:sz="0" w:space="0" w:color="auto"/>
      </w:divBdr>
    </w:div>
    <w:div w:id="1776751690">
      <w:bodyDiv w:val="1"/>
      <w:marLeft w:val="0"/>
      <w:marRight w:val="0"/>
      <w:marTop w:val="0"/>
      <w:marBottom w:val="0"/>
      <w:divBdr>
        <w:top w:val="none" w:sz="0" w:space="0" w:color="auto"/>
        <w:left w:val="none" w:sz="0" w:space="0" w:color="auto"/>
        <w:bottom w:val="none" w:sz="0" w:space="0" w:color="auto"/>
        <w:right w:val="none" w:sz="0" w:space="0" w:color="auto"/>
      </w:divBdr>
    </w:div>
    <w:div w:id="1800760593">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56730447">
      <w:bodyDiv w:val="1"/>
      <w:marLeft w:val="0"/>
      <w:marRight w:val="0"/>
      <w:marTop w:val="0"/>
      <w:marBottom w:val="0"/>
      <w:divBdr>
        <w:top w:val="none" w:sz="0" w:space="0" w:color="auto"/>
        <w:left w:val="none" w:sz="0" w:space="0" w:color="auto"/>
        <w:bottom w:val="none" w:sz="0" w:space="0" w:color="auto"/>
        <w:right w:val="none" w:sz="0" w:space="0" w:color="auto"/>
      </w:divBdr>
    </w:div>
    <w:div w:id="1857233534">
      <w:bodyDiv w:val="1"/>
      <w:marLeft w:val="0"/>
      <w:marRight w:val="0"/>
      <w:marTop w:val="0"/>
      <w:marBottom w:val="0"/>
      <w:divBdr>
        <w:top w:val="none" w:sz="0" w:space="0" w:color="auto"/>
        <w:left w:val="none" w:sz="0" w:space="0" w:color="auto"/>
        <w:bottom w:val="none" w:sz="0" w:space="0" w:color="auto"/>
        <w:right w:val="none" w:sz="0" w:space="0" w:color="auto"/>
      </w:divBdr>
    </w:div>
    <w:div w:id="1865946427">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60605359">
      <w:bodyDiv w:val="1"/>
      <w:marLeft w:val="0"/>
      <w:marRight w:val="0"/>
      <w:marTop w:val="0"/>
      <w:marBottom w:val="0"/>
      <w:divBdr>
        <w:top w:val="none" w:sz="0" w:space="0" w:color="auto"/>
        <w:left w:val="none" w:sz="0" w:space="0" w:color="auto"/>
        <w:bottom w:val="none" w:sz="0" w:space="0" w:color="auto"/>
        <w:right w:val="none" w:sz="0" w:space="0" w:color="auto"/>
      </w:divBdr>
    </w:div>
    <w:div w:id="1966234942">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77947519">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22856125">
      <w:bodyDiv w:val="1"/>
      <w:marLeft w:val="0"/>
      <w:marRight w:val="0"/>
      <w:marTop w:val="0"/>
      <w:marBottom w:val="0"/>
      <w:divBdr>
        <w:top w:val="none" w:sz="0" w:space="0" w:color="auto"/>
        <w:left w:val="none" w:sz="0" w:space="0" w:color="auto"/>
        <w:bottom w:val="none" w:sz="0" w:space="0" w:color="auto"/>
        <w:right w:val="none" w:sz="0" w:space="0" w:color="auto"/>
      </w:divBdr>
    </w:div>
    <w:div w:id="2038506596">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059039910">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 w:id="2143691350">
      <w:bodyDiv w:val="1"/>
      <w:marLeft w:val="0"/>
      <w:marRight w:val="0"/>
      <w:marTop w:val="0"/>
      <w:marBottom w:val="0"/>
      <w:divBdr>
        <w:top w:val="none" w:sz="0" w:space="0" w:color="auto"/>
        <w:left w:val="none" w:sz="0" w:space="0" w:color="auto"/>
        <w:bottom w:val="none" w:sz="0" w:space="0" w:color="auto"/>
        <w:right w:val="none" w:sz="0" w:space="0" w:color="auto"/>
      </w:divBdr>
    </w:div>
    <w:div w:id="2144804485">
      <w:bodyDiv w:val="1"/>
      <w:marLeft w:val="0"/>
      <w:marRight w:val="0"/>
      <w:marTop w:val="0"/>
      <w:marBottom w:val="0"/>
      <w:divBdr>
        <w:top w:val="none" w:sz="0" w:space="0" w:color="auto"/>
        <w:left w:val="none" w:sz="0" w:space="0" w:color="auto"/>
        <w:bottom w:val="none" w:sz="0" w:space="0" w:color="auto"/>
        <w:right w:val="none" w:sz="0" w:space="0" w:color="auto"/>
      </w:divBdr>
    </w:div>
    <w:div w:id="21458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242</cp:revision>
  <dcterms:created xsi:type="dcterms:W3CDTF">2018-03-30T07:36:00Z</dcterms:created>
  <dcterms:modified xsi:type="dcterms:W3CDTF">2022-09-27T03:03:00Z</dcterms:modified>
</cp:coreProperties>
</file>